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AD" w:rsidRDefault="00EE0C4B" w:rsidP="00EE0C4B">
      <w:pPr>
        <w:jc w:val="center"/>
      </w:pPr>
      <w:r>
        <w:rPr>
          <w:noProof/>
          <w:lang w:val="en-US"/>
        </w:rPr>
        <w:drawing>
          <wp:inline distT="0" distB="0" distL="0" distR="0">
            <wp:extent cx="4284133" cy="71766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la_logo_strap_landscap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99300" cy="720202"/>
                    </a:xfrm>
                    <a:prstGeom prst="rect">
                      <a:avLst/>
                    </a:prstGeom>
                  </pic:spPr>
                </pic:pic>
              </a:graphicData>
            </a:graphic>
          </wp:inline>
        </w:drawing>
      </w:r>
    </w:p>
    <w:p w:rsidR="00EE0C4B" w:rsidRDefault="00EE0C4B" w:rsidP="001E18AD"/>
    <w:p w:rsidR="00EE0C4B" w:rsidRDefault="00BC3468" w:rsidP="00EE0C4B">
      <w:pPr>
        <w:jc w:val="center"/>
        <w:rPr>
          <w:b/>
          <w:color w:val="4D4D4F"/>
          <w:sz w:val="36"/>
        </w:rPr>
      </w:pPr>
      <w:r>
        <w:rPr>
          <w:b/>
          <w:color w:val="4D4D4F"/>
          <w:sz w:val="36"/>
        </w:rPr>
        <w:t xml:space="preserve">St Joseph’s Special School </w:t>
      </w:r>
      <w:r w:rsidR="00EE0C4B" w:rsidRPr="00EE0C4B">
        <w:rPr>
          <w:b/>
          <w:color w:val="4D4D4F"/>
          <w:sz w:val="36"/>
        </w:rPr>
        <w:t xml:space="preserve">Statement of Strategy </w:t>
      </w:r>
    </w:p>
    <w:p w:rsidR="00EE0C4B" w:rsidRDefault="00EE0C4B" w:rsidP="00EE0C4B">
      <w:pPr>
        <w:jc w:val="center"/>
        <w:rPr>
          <w:b/>
          <w:color w:val="4D4D4F"/>
          <w:sz w:val="36"/>
        </w:rPr>
      </w:pPr>
      <w:proofErr w:type="gramStart"/>
      <w:r w:rsidRPr="00EE0C4B">
        <w:rPr>
          <w:b/>
          <w:color w:val="4D4D4F"/>
          <w:sz w:val="36"/>
        </w:rPr>
        <w:t>for</w:t>
      </w:r>
      <w:proofErr w:type="gramEnd"/>
      <w:r w:rsidRPr="00EE0C4B">
        <w:rPr>
          <w:b/>
          <w:color w:val="4D4D4F"/>
          <w:sz w:val="36"/>
        </w:rPr>
        <w:t xml:space="preserve"> School Attendance</w:t>
      </w:r>
    </w:p>
    <w:p w:rsidR="00EF7343" w:rsidRPr="007D1897" w:rsidRDefault="00EF7343" w:rsidP="00EF7343">
      <w:pPr>
        <w:spacing w:line="360" w:lineRule="auto"/>
        <w:jc w:val="center"/>
        <w:rPr>
          <w:rFonts w:ascii="Times New Roman" w:hAnsi="Times New Roman"/>
          <w:b/>
          <w:sz w:val="24"/>
        </w:rPr>
      </w:pPr>
      <w:r w:rsidRPr="007D1897">
        <w:rPr>
          <w:rFonts w:ascii="Times New Roman" w:hAnsi="Times New Roman"/>
          <w:b/>
          <w:sz w:val="24"/>
        </w:rPr>
        <w:t>St. Joseph’s Special School,</w:t>
      </w:r>
    </w:p>
    <w:p w:rsidR="00EF7343" w:rsidRPr="007D1897" w:rsidRDefault="00EF7343" w:rsidP="00EF7343">
      <w:pPr>
        <w:spacing w:line="360" w:lineRule="auto"/>
        <w:jc w:val="center"/>
        <w:rPr>
          <w:rFonts w:ascii="Times New Roman" w:hAnsi="Times New Roman"/>
          <w:b/>
          <w:sz w:val="24"/>
        </w:rPr>
      </w:pPr>
      <w:proofErr w:type="gramStart"/>
      <w:r w:rsidRPr="007D1897">
        <w:rPr>
          <w:rFonts w:ascii="Times New Roman" w:hAnsi="Times New Roman"/>
          <w:b/>
          <w:sz w:val="24"/>
        </w:rPr>
        <w:t>Thomas Hynes Rd, Newcastle, Galway.</w:t>
      </w:r>
      <w:proofErr w:type="gramEnd"/>
    </w:p>
    <w:p w:rsidR="00EF7343" w:rsidRPr="007D1897" w:rsidRDefault="00EF7343" w:rsidP="00EF7343">
      <w:pPr>
        <w:spacing w:line="360" w:lineRule="auto"/>
        <w:jc w:val="center"/>
        <w:rPr>
          <w:rFonts w:ascii="Times New Roman" w:hAnsi="Times New Roman"/>
          <w:b/>
          <w:sz w:val="24"/>
        </w:rPr>
      </w:pPr>
      <w:proofErr w:type="gramStart"/>
      <w:r w:rsidRPr="007D1897">
        <w:rPr>
          <w:rFonts w:ascii="Times New Roman" w:hAnsi="Times New Roman"/>
          <w:b/>
          <w:sz w:val="24"/>
        </w:rPr>
        <w:t>Telephone 091 521895.</w:t>
      </w:r>
      <w:proofErr w:type="gramEnd"/>
    </w:p>
    <w:p w:rsidR="00EF7343" w:rsidRPr="007D1897" w:rsidRDefault="00EF7343" w:rsidP="00EF7343">
      <w:pPr>
        <w:spacing w:line="360" w:lineRule="auto"/>
        <w:jc w:val="center"/>
        <w:rPr>
          <w:rFonts w:ascii="Times New Roman" w:hAnsi="Times New Roman"/>
          <w:b/>
          <w:sz w:val="24"/>
        </w:rPr>
      </w:pPr>
      <w:r w:rsidRPr="007D1897">
        <w:rPr>
          <w:rFonts w:ascii="Times New Roman" w:hAnsi="Times New Roman"/>
          <w:b/>
          <w:sz w:val="24"/>
        </w:rPr>
        <w:t>Email: theoffice@stjosephspns.ie</w:t>
      </w:r>
    </w:p>
    <w:p w:rsidR="00EF7343" w:rsidRPr="007D1897" w:rsidRDefault="00EF7343" w:rsidP="00EF7343">
      <w:pPr>
        <w:spacing w:line="360" w:lineRule="auto"/>
        <w:jc w:val="center"/>
        <w:rPr>
          <w:rFonts w:ascii="Times New Roman" w:hAnsi="Times New Roman"/>
          <w:b/>
          <w:sz w:val="24"/>
        </w:rPr>
      </w:pPr>
    </w:p>
    <w:p w:rsidR="00EF7343" w:rsidRPr="007D1897" w:rsidRDefault="00EF7343" w:rsidP="00EF7343">
      <w:pPr>
        <w:spacing w:line="360" w:lineRule="auto"/>
        <w:jc w:val="center"/>
        <w:rPr>
          <w:rFonts w:ascii="Times New Roman" w:hAnsi="Times New Roman"/>
          <w:b/>
          <w:sz w:val="24"/>
        </w:rPr>
      </w:pPr>
      <w:r w:rsidRPr="007D1897">
        <w:rPr>
          <w:rFonts w:ascii="Times New Roman" w:hAnsi="Times New Roman"/>
          <w:b/>
          <w:sz w:val="24"/>
        </w:rPr>
        <w:t>Chairperson of the Board of Management: Audrey Pidgeon</w:t>
      </w:r>
    </w:p>
    <w:p w:rsidR="00EF7343" w:rsidRPr="007D1897" w:rsidRDefault="00EF7343" w:rsidP="00EF7343">
      <w:pPr>
        <w:spacing w:line="360" w:lineRule="auto"/>
        <w:jc w:val="center"/>
        <w:rPr>
          <w:rFonts w:ascii="Times New Roman" w:hAnsi="Times New Roman"/>
          <w:b/>
          <w:sz w:val="24"/>
        </w:rPr>
      </w:pPr>
      <w:r w:rsidRPr="007D1897">
        <w:rPr>
          <w:rFonts w:ascii="Times New Roman" w:hAnsi="Times New Roman"/>
          <w:b/>
          <w:sz w:val="24"/>
        </w:rPr>
        <w:t>Principal: Sarah McGinley</w:t>
      </w:r>
    </w:p>
    <w:p w:rsidR="00EF7343" w:rsidRPr="007D1897" w:rsidRDefault="00EF7343" w:rsidP="00EF7343">
      <w:pPr>
        <w:pStyle w:val="Heading1"/>
        <w:tabs>
          <w:tab w:val="left" w:pos="0"/>
          <w:tab w:val="left" w:pos="540"/>
        </w:tabs>
        <w:spacing w:line="360" w:lineRule="auto"/>
        <w:rPr>
          <w:rFonts w:ascii="Times New Roman" w:hAnsi="Times New Roman" w:cs="Times New Roman"/>
          <w:b w:val="0"/>
          <w:sz w:val="24"/>
          <w:szCs w:val="24"/>
        </w:rPr>
      </w:pPr>
      <w:r w:rsidRPr="007D1897">
        <w:rPr>
          <w:rFonts w:ascii="Times New Roman" w:hAnsi="Times New Roman" w:cs="Times New Roman"/>
          <w:sz w:val="24"/>
          <w:szCs w:val="24"/>
        </w:rPr>
        <w:t>Timetable for Review</w:t>
      </w:r>
    </w:p>
    <w:p w:rsidR="00EF7343" w:rsidRPr="00292055" w:rsidRDefault="00EF7343" w:rsidP="00EF7343">
      <w:pPr>
        <w:spacing w:line="360" w:lineRule="auto"/>
        <w:rPr>
          <w:rFonts w:ascii="Times New Roman" w:hAnsi="Times New Roman"/>
          <w:sz w:val="24"/>
        </w:rPr>
      </w:pPr>
      <w:r w:rsidRPr="007D1897">
        <w:rPr>
          <w:rFonts w:ascii="Times New Roman" w:hAnsi="Times New Roman"/>
          <w:sz w:val="24"/>
        </w:rPr>
        <w:t>As necessary</w:t>
      </w:r>
    </w:p>
    <w:p w:rsidR="00EF7343" w:rsidRPr="00EE0C4B" w:rsidRDefault="00EF7343" w:rsidP="00EE0C4B">
      <w:pPr>
        <w:jc w:val="center"/>
        <w:rPr>
          <w:color w:val="4D4D4F"/>
          <w:sz w:val="32"/>
        </w:rPr>
      </w:pPr>
    </w:p>
    <w:p w:rsidR="00EE0C4B" w:rsidRDefault="00EE0C4B" w:rsidP="001E18AD"/>
    <w:tbl>
      <w:tblPr>
        <w:tblStyle w:val="TableGrid"/>
        <w:tblW w:w="0" w:type="auto"/>
        <w:tblInd w:w="108" w:type="dxa"/>
        <w:tblLayout w:type="fixed"/>
        <w:tblLook w:val="04A0"/>
      </w:tblPr>
      <w:tblGrid>
        <w:gridCol w:w="3690"/>
        <w:gridCol w:w="5444"/>
      </w:tblGrid>
      <w:tr w:rsidR="001E18AD" w:rsidTr="00EE0C4B">
        <w:tc>
          <w:tcPr>
            <w:tcW w:w="3690" w:type="dxa"/>
            <w:shd w:val="clear" w:color="auto" w:fill="DBE5F1" w:themeFill="accent1" w:themeFillTint="33"/>
          </w:tcPr>
          <w:p w:rsidR="001E18AD" w:rsidRDefault="001E18AD" w:rsidP="00C77F36">
            <w:pPr>
              <w:spacing w:after="120"/>
            </w:pPr>
            <w:r>
              <w:t>Name of school</w:t>
            </w:r>
          </w:p>
        </w:tc>
        <w:tc>
          <w:tcPr>
            <w:tcW w:w="5444" w:type="dxa"/>
          </w:tcPr>
          <w:p w:rsidR="001E18AD" w:rsidRDefault="00873653" w:rsidP="00C77F36">
            <w:r>
              <w:t>St Joseph’s Special School</w:t>
            </w:r>
          </w:p>
        </w:tc>
      </w:tr>
      <w:tr w:rsidR="001E18AD" w:rsidTr="00EE0C4B">
        <w:tc>
          <w:tcPr>
            <w:tcW w:w="3690" w:type="dxa"/>
            <w:shd w:val="clear" w:color="auto" w:fill="DBE5F1" w:themeFill="accent1" w:themeFillTint="33"/>
          </w:tcPr>
          <w:p w:rsidR="001E18AD" w:rsidRDefault="001E18AD" w:rsidP="00C77F36">
            <w:pPr>
              <w:spacing w:after="120"/>
            </w:pPr>
            <w:r>
              <w:t>Address</w:t>
            </w:r>
          </w:p>
        </w:tc>
        <w:tc>
          <w:tcPr>
            <w:tcW w:w="5444" w:type="dxa"/>
          </w:tcPr>
          <w:p w:rsidR="001E18AD" w:rsidRDefault="00873653" w:rsidP="00C77F36">
            <w:r>
              <w:t>Thomas Hynes Rd, Newcastle, Galway</w:t>
            </w:r>
          </w:p>
        </w:tc>
      </w:tr>
      <w:tr w:rsidR="001E18AD" w:rsidTr="00EE0C4B">
        <w:tc>
          <w:tcPr>
            <w:tcW w:w="3690" w:type="dxa"/>
            <w:shd w:val="clear" w:color="auto" w:fill="DBE5F1" w:themeFill="accent1" w:themeFillTint="33"/>
          </w:tcPr>
          <w:p w:rsidR="001E18AD" w:rsidRDefault="001E18AD" w:rsidP="00C77F36">
            <w:pPr>
              <w:spacing w:after="120"/>
            </w:pPr>
            <w:r>
              <w:t>Roll Number</w:t>
            </w:r>
          </w:p>
        </w:tc>
        <w:tc>
          <w:tcPr>
            <w:tcW w:w="5444" w:type="dxa"/>
          </w:tcPr>
          <w:p w:rsidR="001E18AD" w:rsidRDefault="00873653" w:rsidP="00C77F36">
            <w:r>
              <w:t>19047h</w:t>
            </w:r>
          </w:p>
        </w:tc>
      </w:tr>
      <w:tr w:rsidR="001E18AD" w:rsidTr="00EE0C4B">
        <w:tc>
          <w:tcPr>
            <w:tcW w:w="3690" w:type="dxa"/>
            <w:shd w:val="clear" w:color="auto" w:fill="DBE5F1" w:themeFill="accent1" w:themeFillTint="33"/>
          </w:tcPr>
          <w:p w:rsidR="001E18AD" w:rsidRDefault="001E18AD" w:rsidP="00C77F36">
            <w:pPr>
              <w:spacing w:after="120"/>
            </w:pPr>
            <w:r>
              <w:rPr>
                <w:rFonts w:cs="Calibri"/>
              </w:rPr>
              <w:t>The school’s vision and values in relation to attendance</w:t>
            </w:r>
          </w:p>
        </w:tc>
        <w:tc>
          <w:tcPr>
            <w:tcW w:w="5444" w:type="dxa"/>
          </w:tcPr>
          <w:p w:rsidR="001E18AD" w:rsidRDefault="00873653" w:rsidP="00873653">
            <w:r w:rsidRPr="00873653">
              <w:t>The mission of St Joseph’s Special School is to provide for the unique academic, physical, social and emotional</w:t>
            </w:r>
            <w:r w:rsidR="00BC3468">
              <w:t xml:space="preserve"> needs of its pupils. The </w:t>
            </w:r>
            <w:proofErr w:type="gramStart"/>
            <w:r w:rsidR="00BC3468">
              <w:t>staff  is</w:t>
            </w:r>
            <w:proofErr w:type="gramEnd"/>
            <w:r w:rsidRPr="00873653">
              <w:t xml:space="preserve"> committed to creating and maintaining an orderly, trusting, and caring environment where teaching and learning are exciting and students are assisted as they develop independence. All aspects of the school, both organizational</w:t>
            </w:r>
            <w:r w:rsidR="0018778D">
              <w:t xml:space="preserve"> and curricular are child </w:t>
            </w:r>
            <w:proofErr w:type="spellStart"/>
            <w:r w:rsidR="0018778D">
              <w:t>center</w:t>
            </w:r>
            <w:r w:rsidRPr="00873653">
              <w:t>ed</w:t>
            </w:r>
            <w:proofErr w:type="spellEnd"/>
            <w:r w:rsidRPr="00873653">
              <w:t xml:space="preserve"> and designed to accommodate individual learning styles so that all</w:t>
            </w:r>
            <w:r>
              <w:t xml:space="preserve"> pupils may experience success, are happy and secure in the school environment</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The school’s high expectations around attendance</w:t>
            </w:r>
          </w:p>
        </w:tc>
        <w:tc>
          <w:tcPr>
            <w:tcW w:w="5444" w:type="dxa"/>
          </w:tcPr>
          <w:p w:rsidR="003A4713" w:rsidRDefault="003A4713" w:rsidP="003A4713">
            <w:r>
              <w:t>The school Code of Behaviour expects parents to:</w:t>
            </w:r>
            <w:r>
              <w:tab/>
            </w:r>
          </w:p>
          <w:p w:rsidR="003A4713" w:rsidRDefault="003A4713" w:rsidP="003A4713">
            <w:r>
              <w:t xml:space="preserve">Ensure the punctual and regular attendance of </w:t>
            </w:r>
            <w:r w:rsidR="00BC3468">
              <w:t xml:space="preserve">their </w:t>
            </w:r>
            <w:r>
              <w:t>child at school.</w:t>
            </w:r>
          </w:p>
          <w:p w:rsidR="003A4713" w:rsidRDefault="003A4713" w:rsidP="003A4713">
            <w:r>
              <w:t>Inform the class teacher if the</w:t>
            </w:r>
            <w:r w:rsidR="00BC3468">
              <w:t>ir</w:t>
            </w:r>
            <w:r>
              <w:t xml:space="preserve"> child is leaving school early.</w:t>
            </w:r>
          </w:p>
          <w:p w:rsidR="003A4713" w:rsidRDefault="003A4713" w:rsidP="003A4713">
            <w:r>
              <w:t xml:space="preserve">Send written notice to the class teacher to account for </w:t>
            </w:r>
            <w:r w:rsidR="00BC3468">
              <w:t xml:space="preserve">their </w:t>
            </w:r>
            <w:r>
              <w:t>child’s absence on his/her return to school as per the NEWB guidelines.</w:t>
            </w:r>
          </w:p>
          <w:p w:rsidR="003A4713" w:rsidRDefault="003A4713" w:rsidP="003A4713">
            <w:r w:rsidRPr="003A4713">
              <w:t xml:space="preserve">The school Code of Behaviour expects </w:t>
            </w:r>
            <w:r>
              <w:t>staff</w:t>
            </w:r>
            <w:r w:rsidRPr="003A4713">
              <w:t xml:space="preserve"> to:</w:t>
            </w:r>
          </w:p>
          <w:p w:rsidR="003A4713" w:rsidRDefault="003A4713" w:rsidP="003A4713">
            <w:r>
              <w:t>Provide a positive safe learning environment for all pupils.</w:t>
            </w:r>
          </w:p>
          <w:p w:rsidR="003A4713" w:rsidRDefault="003A4713" w:rsidP="003A4713">
            <w:r>
              <w:tab/>
            </w:r>
          </w:p>
          <w:p w:rsidR="003A4713" w:rsidRDefault="003A4713" w:rsidP="003A4713"/>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lastRenderedPageBreak/>
              <w:t>How attendance will be monitored</w:t>
            </w:r>
          </w:p>
        </w:tc>
        <w:tc>
          <w:tcPr>
            <w:tcW w:w="5444" w:type="dxa"/>
          </w:tcPr>
          <w:p w:rsidR="001E18AD" w:rsidRDefault="003A4713" w:rsidP="0018778D">
            <w:r>
              <w:t xml:space="preserve">Roll is called in classes each morning. Numbers are conveyed to the school secretary who inputs them digitally. </w:t>
            </w:r>
            <w:r w:rsidRPr="003A4713">
              <w:t xml:space="preserve"> Reporting absences to TUSLA is carried out in line with the recommended reporting schedule to comply with reporting requirements. If there is a concern about a child’s attendance, </w:t>
            </w:r>
            <w:r w:rsidR="0018778D">
              <w:t>a referral may be made to the Social Work department of the patron body Ability West.</w:t>
            </w:r>
          </w:p>
        </w:tc>
      </w:tr>
      <w:tr w:rsidR="001E18AD" w:rsidTr="00EE0C4B">
        <w:tc>
          <w:tcPr>
            <w:tcW w:w="3690" w:type="dxa"/>
            <w:shd w:val="clear" w:color="auto" w:fill="DBE5F1" w:themeFill="accent1" w:themeFillTint="33"/>
          </w:tcPr>
          <w:p w:rsidR="001E18AD" w:rsidRDefault="001E18AD" w:rsidP="00C77F36">
            <w:pPr>
              <w:spacing w:after="60"/>
              <w:rPr>
                <w:rFonts w:cs="Calibri"/>
              </w:rPr>
            </w:pPr>
            <w:bookmarkStart w:id="0" w:name="_GoBack"/>
            <w:r>
              <w:rPr>
                <w:rFonts w:cs="Calibri"/>
              </w:rPr>
              <w:t>Summary of the main elements of the school’s approach to attendance:</w:t>
            </w:r>
          </w:p>
          <w:p w:rsidR="001E18AD" w:rsidRDefault="001E18AD" w:rsidP="001E18AD">
            <w:pPr>
              <w:pStyle w:val="ListParagraph"/>
              <w:numPr>
                <w:ilvl w:val="0"/>
                <w:numId w:val="1"/>
              </w:numPr>
              <w:spacing w:after="40"/>
              <w:ind w:left="432" w:hanging="274"/>
              <w:rPr>
                <w:rFonts w:cs="Calibri"/>
              </w:rPr>
            </w:pPr>
            <w:r>
              <w:rPr>
                <w:rFonts w:cs="Calibri"/>
              </w:rPr>
              <w:t>Target setting and targets</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The whole</w:t>
            </w:r>
            <w:r>
              <w:rPr>
                <w:rFonts w:cs="Calibri"/>
              </w:rPr>
              <w:t>-</w:t>
            </w:r>
            <w:r w:rsidRPr="00C133DD">
              <w:rPr>
                <w:rFonts w:cs="Calibri"/>
              </w:rPr>
              <w:t xml:space="preserve">school approach </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 xml:space="preserve">Promoting good attendance </w:t>
            </w:r>
          </w:p>
          <w:p w:rsidR="001E18AD" w:rsidRDefault="001E18AD" w:rsidP="001E18AD">
            <w:pPr>
              <w:pStyle w:val="ListParagraph"/>
              <w:numPr>
                <w:ilvl w:val="0"/>
                <w:numId w:val="1"/>
              </w:numPr>
              <w:spacing w:after="120"/>
              <w:ind w:left="432" w:hanging="274"/>
              <w:rPr>
                <w:rFonts w:cs="Calibri"/>
              </w:rPr>
            </w:pPr>
            <w:r w:rsidRPr="00C924E4">
              <w:rPr>
                <w:rFonts w:cs="Calibri"/>
              </w:rPr>
              <w:t>Responding to poor attendance</w:t>
            </w:r>
          </w:p>
        </w:tc>
        <w:tc>
          <w:tcPr>
            <w:tcW w:w="5444" w:type="dxa"/>
          </w:tcPr>
          <w:p w:rsidR="0018778D" w:rsidRDefault="0018778D" w:rsidP="00C77F36">
            <w:r>
              <w:t>Every effort is made to cater for the individual needs of the child to ensure that he/she meets with success in learning</w:t>
            </w:r>
          </w:p>
          <w:p w:rsidR="0018778D" w:rsidRDefault="0018778D" w:rsidP="00C77F36">
            <w:r>
              <w:t>A nurse is employed by the Patron Body Ability West to ensure that pupils with medical needs can attend school regularly.</w:t>
            </w:r>
          </w:p>
          <w:p w:rsidR="00BC3468" w:rsidRDefault="0018778D" w:rsidP="00C77F36">
            <w:r>
              <w:t xml:space="preserve">Training is provided as required to staff to meet the physical needs of the pupils. </w:t>
            </w:r>
          </w:p>
          <w:p w:rsidR="0018778D" w:rsidRDefault="0018778D" w:rsidP="00C77F36">
            <w:r>
              <w:t>Daily communication systems are in place to ensure that parents and school can respond to pupil’s needs.</w:t>
            </w:r>
          </w:p>
          <w:p w:rsidR="00BC3468" w:rsidRDefault="00BC3468" w:rsidP="00C77F36">
            <w:r>
              <w:t>The Board of Management employs bus escorts to ensure</w:t>
            </w:r>
            <w:r w:rsidR="007056DD">
              <w:t xml:space="preserve"> the safe travel of the pupils to and from school</w:t>
            </w:r>
          </w:p>
          <w:p w:rsidR="00BC3468" w:rsidRDefault="00BC3468" w:rsidP="00C77F36">
            <w:r>
              <w:t>Parents are offered assistance should their child have difficulty travelling on the school bus</w:t>
            </w:r>
            <w:r w:rsidR="007056DD">
              <w:t>.</w:t>
            </w:r>
          </w:p>
          <w:p w:rsidR="007056DD" w:rsidRDefault="007056DD" w:rsidP="00C77F36">
            <w:r>
              <w:t xml:space="preserve">The Principal liaises with the SENO and Bus </w:t>
            </w:r>
            <w:proofErr w:type="spellStart"/>
            <w:r>
              <w:t>Eireann</w:t>
            </w:r>
            <w:proofErr w:type="spellEnd"/>
            <w:r>
              <w:t xml:space="preserve"> in relation to the provision of transport.</w:t>
            </w:r>
          </w:p>
        </w:tc>
      </w:tr>
      <w:bookmarkEnd w:id="0"/>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School roles in relation to attendance</w:t>
            </w:r>
          </w:p>
        </w:tc>
        <w:tc>
          <w:tcPr>
            <w:tcW w:w="5444" w:type="dxa"/>
          </w:tcPr>
          <w:p w:rsidR="001E18AD" w:rsidRDefault="0018778D" w:rsidP="00C77F36">
            <w:r>
              <w:t>Class teachers are responsible for calling the roll</w:t>
            </w:r>
          </w:p>
          <w:p w:rsidR="0018778D" w:rsidRDefault="0018778D" w:rsidP="00C77F36">
            <w:r>
              <w:t>The school secretary is responsible for recording data digitally</w:t>
            </w:r>
          </w:p>
          <w:p w:rsidR="007056DD" w:rsidRDefault="0018778D" w:rsidP="00080DD6">
            <w:r>
              <w:t>The Deputy Principal has the duty to liaise with parents of pupils who are late</w:t>
            </w:r>
            <w:r w:rsidR="00080DD6">
              <w:t>, frequently absent,</w:t>
            </w:r>
            <w:r>
              <w:t xml:space="preserve"> or are reported as </w:t>
            </w:r>
            <w:r w:rsidR="00080DD6">
              <w:t xml:space="preserve">frequently </w:t>
            </w:r>
            <w:r>
              <w:t>not being ready for the school bus</w:t>
            </w:r>
            <w:r w:rsidR="00080DD6">
              <w:t>.</w:t>
            </w:r>
          </w:p>
          <w:p w:rsidR="0018778D" w:rsidRDefault="007056DD" w:rsidP="00080DD6">
            <w:r w:rsidRPr="007056DD">
              <w:t xml:space="preserve">The Principal liaises with the SENO and Bus </w:t>
            </w:r>
            <w:proofErr w:type="spellStart"/>
            <w:r w:rsidRPr="007056DD">
              <w:t>Eireann</w:t>
            </w:r>
            <w:proofErr w:type="spellEnd"/>
            <w:r w:rsidRPr="007056DD">
              <w:t xml:space="preserve"> in relation to the provision of transport.</w:t>
            </w:r>
          </w:p>
          <w:p w:rsidR="007056DD" w:rsidRDefault="007056DD" w:rsidP="00080DD6"/>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Partnership arrangements (parents, students, other schools, youth and community groups)</w:t>
            </w:r>
          </w:p>
        </w:tc>
        <w:tc>
          <w:tcPr>
            <w:tcW w:w="5444" w:type="dxa"/>
          </w:tcPr>
          <w:p w:rsidR="001E18AD" w:rsidRDefault="00BC3468" w:rsidP="00C77F36">
            <w:r>
              <w:t>Ability West ancillary services provide psychological, behaviour therapy and social work support in some instances.</w:t>
            </w:r>
          </w:p>
          <w:p w:rsidR="00BC3468" w:rsidRDefault="00BC3468" w:rsidP="00C77F36"/>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How the Statement of Strategy will be monitored</w:t>
            </w:r>
          </w:p>
        </w:tc>
        <w:tc>
          <w:tcPr>
            <w:tcW w:w="5444" w:type="dxa"/>
          </w:tcPr>
          <w:p w:rsidR="001E18AD" w:rsidRDefault="00BC3468" w:rsidP="00C77F36">
            <w:r>
              <w:t xml:space="preserve">It will be monitored by teachers, the Principal and the Board of Management. </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Review process and date for review</w:t>
            </w:r>
          </w:p>
        </w:tc>
        <w:tc>
          <w:tcPr>
            <w:tcW w:w="5444" w:type="dxa"/>
          </w:tcPr>
          <w:p w:rsidR="001E18AD" w:rsidRDefault="00BC3468" w:rsidP="00EF7343">
            <w:r>
              <w:t xml:space="preserve">It will be reviewed </w:t>
            </w:r>
            <w:r w:rsidR="00EF7343">
              <w:t>as necessary</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was approved by the Board of Management</w:t>
            </w:r>
          </w:p>
        </w:tc>
        <w:tc>
          <w:tcPr>
            <w:tcW w:w="5444" w:type="dxa"/>
          </w:tcPr>
          <w:p w:rsidR="001E18AD" w:rsidRDefault="001E18AD" w:rsidP="00C77F36"/>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submitted to Tusla</w:t>
            </w:r>
          </w:p>
        </w:tc>
        <w:tc>
          <w:tcPr>
            <w:tcW w:w="5444" w:type="dxa"/>
          </w:tcPr>
          <w:p w:rsidR="001E18AD" w:rsidRDefault="001E18AD" w:rsidP="00C77F36"/>
        </w:tc>
      </w:tr>
    </w:tbl>
    <w:p w:rsidR="001E18AD" w:rsidRDefault="001E18AD" w:rsidP="001E18AD">
      <w:pPr>
        <w:rPr>
          <w:rFonts w:cs="Calibri"/>
        </w:rPr>
      </w:pPr>
    </w:p>
    <w:p w:rsidR="00EF7343" w:rsidRPr="00224B8A" w:rsidRDefault="00EF7343" w:rsidP="00EF7343">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t>Timetable for Review</w:t>
      </w:r>
    </w:p>
    <w:p w:rsidR="00EF7343" w:rsidRPr="008564DC" w:rsidRDefault="00EF7343" w:rsidP="00EF7343">
      <w:pPr>
        <w:spacing w:line="360" w:lineRule="auto"/>
        <w:rPr>
          <w:rFonts w:ascii="Times New Roman" w:hAnsi="Times New Roman"/>
          <w:sz w:val="24"/>
        </w:rPr>
      </w:pPr>
      <w:r w:rsidRPr="00224B8A">
        <w:rPr>
          <w:rFonts w:ascii="Times New Roman" w:hAnsi="Times New Roman"/>
          <w:sz w:val="24"/>
        </w:rPr>
        <w:t>As necessary</w:t>
      </w:r>
    </w:p>
    <w:p w:rsidR="00EF7343" w:rsidRPr="00AD7436" w:rsidRDefault="00EF7343" w:rsidP="00EF7343">
      <w:pPr>
        <w:rPr>
          <w:rFonts w:ascii="Times New Roman" w:hAnsi="Times New Roman"/>
          <w:b/>
          <w:sz w:val="24"/>
        </w:rPr>
      </w:pPr>
      <w:r w:rsidRPr="00AD7436">
        <w:rPr>
          <w:rFonts w:ascii="Times New Roman" w:hAnsi="Times New Roman"/>
          <w:b/>
          <w:sz w:val="24"/>
        </w:rPr>
        <w:lastRenderedPageBreak/>
        <w:t>Ratification and Review</w:t>
      </w:r>
    </w:p>
    <w:p w:rsidR="00EF7343" w:rsidRPr="005D6EF0" w:rsidRDefault="00EF7343" w:rsidP="00EF7343">
      <w:pPr>
        <w:rPr>
          <w:rFonts w:ascii="Times New Roman" w:hAnsi="Times New Roman"/>
          <w:sz w:val="24"/>
        </w:rPr>
      </w:pPr>
      <w:r w:rsidRPr="005D6EF0">
        <w:rPr>
          <w:rFonts w:ascii="Times New Roman" w:hAnsi="Times New Roman"/>
          <w:sz w:val="24"/>
        </w:rPr>
        <w:t>This policy was ratified by the Board of Management on</w:t>
      </w:r>
      <w:r>
        <w:rPr>
          <w:rFonts w:ascii="Times New Roman" w:hAnsi="Times New Roman"/>
          <w:sz w:val="24"/>
        </w:rPr>
        <w:t xml:space="preserve"> Oct</w:t>
      </w:r>
      <w:r w:rsidRPr="005D6EF0">
        <w:rPr>
          <w:rFonts w:ascii="Times New Roman" w:hAnsi="Times New Roman"/>
          <w:sz w:val="24"/>
        </w:rPr>
        <w:t xml:space="preserve"> </w:t>
      </w:r>
      <w:r>
        <w:rPr>
          <w:rFonts w:ascii="Times New Roman" w:hAnsi="Times New Roman"/>
          <w:sz w:val="24"/>
        </w:rPr>
        <w:t>2017</w:t>
      </w:r>
      <w:r w:rsidRPr="005D6EF0">
        <w:rPr>
          <w:rFonts w:ascii="Times New Roman" w:hAnsi="Times New Roman"/>
          <w:sz w:val="24"/>
        </w:rPr>
        <w:t>.</w:t>
      </w:r>
    </w:p>
    <w:p w:rsidR="00EF7343" w:rsidRPr="00CB4313" w:rsidRDefault="00EF7343" w:rsidP="00EF7343">
      <w:pPr>
        <w:spacing w:line="360" w:lineRule="auto"/>
        <w:rPr>
          <w:rFonts w:ascii="Times New Roman" w:hAnsi="Times New Roman"/>
          <w:sz w:val="24"/>
        </w:rPr>
      </w:pPr>
      <w:r w:rsidRPr="00224B8A">
        <w:rPr>
          <w:rFonts w:ascii="Times New Roman" w:hAnsi="Times New Roman"/>
          <w:sz w:val="24"/>
        </w:rPr>
        <w:t xml:space="preserve">The Board of Management is aware that this plan was reviewed in September 2020. The amended document was presented for ratification. </w:t>
      </w:r>
    </w:p>
    <w:p w:rsidR="00EF7343" w:rsidRPr="009810E2" w:rsidRDefault="00EF7343" w:rsidP="00EF7343">
      <w:pPr>
        <w:rPr>
          <w:sz w:val="24"/>
        </w:rPr>
      </w:pPr>
    </w:p>
    <w:p w:rsidR="00EF7343" w:rsidRDefault="00EF7343" w:rsidP="00EF7343">
      <w:pPr>
        <w:rPr>
          <w:sz w:val="24"/>
        </w:rPr>
      </w:pPr>
      <w:r w:rsidRPr="009810E2">
        <w:rPr>
          <w:sz w:val="24"/>
        </w:rPr>
        <w:t>Signed:</w:t>
      </w:r>
      <w:r w:rsidRPr="009810E2">
        <w:rPr>
          <w:sz w:val="24"/>
        </w:rPr>
        <w:tab/>
      </w:r>
      <w:r w:rsidRPr="009810E2">
        <w:rPr>
          <w:sz w:val="24"/>
        </w:rPr>
        <w:tab/>
        <w:t>______________</w:t>
      </w:r>
      <w:r>
        <w:rPr>
          <w:sz w:val="24"/>
        </w:rPr>
        <w:t>____________</w:t>
      </w:r>
      <w:r>
        <w:rPr>
          <w:sz w:val="24"/>
        </w:rPr>
        <w:tab/>
      </w:r>
      <w:r>
        <w:rPr>
          <w:sz w:val="24"/>
        </w:rPr>
        <w:tab/>
      </w:r>
      <w:r>
        <w:rPr>
          <w:sz w:val="24"/>
        </w:rPr>
        <w:tab/>
        <w:t>Date:</w:t>
      </w:r>
      <w:r>
        <w:rPr>
          <w:sz w:val="24"/>
        </w:rPr>
        <w:tab/>
        <w:t>_________</w:t>
      </w:r>
    </w:p>
    <w:p w:rsidR="00EF7343" w:rsidRPr="00CB4313" w:rsidRDefault="00EF7343" w:rsidP="00EF7343">
      <w:pPr>
        <w:ind w:left="720" w:firstLine="720"/>
        <w:rPr>
          <w:sz w:val="20"/>
        </w:rPr>
      </w:pPr>
      <w:r>
        <w:rPr>
          <w:sz w:val="20"/>
        </w:rPr>
        <w:t>(</w:t>
      </w:r>
      <w:r w:rsidRPr="00E55BAB">
        <w:rPr>
          <w:sz w:val="20"/>
        </w:rPr>
        <w:t>Chairperson of Board of Management</w:t>
      </w:r>
      <w:r>
        <w:rPr>
          <w:sz w:val="20"/>
        </w:rPr>
        <w:t>)</w:t>
      </w:r>
    </w:p>
    <w:p w:rsidR="00EF7343" w:rsidRPr="009810E2" w:rsidRDefault="00EF7343" w:rsidP="00EF7343">
      <w:pPr>
        <w:rPr>
          <w:sz w:val="24"/>
        </w:rPr>
      </w:pPr>
    </w:p>
    <w:p w:rsidR="00EF7343" w:rsidRPr="009810E2" w:rsidRDefault="00EF7343" w:rsidP="00EF7343">
      <w:pPr>
        <w:rPr>
          <w:sz w:val="24"/>
        </w:rPr>
      </w:pPr>
      <w:r w:rsidRPr="009810E2">
        <w:rPr>
          <w:sz w:val="24"/>
        </w:rPr>
        <w:tab/>
      </w:r>
      <w:r w:rsidRPr="009810E2">
        <w:rPr>
          <w:sz w:val="24"/>
        </w:rPr>
        <w:tab/>
        <w:t>_____</w:t>
      </w:r>
      <w:r>
        <w:rPr>
          <w:sz w:val="24"/>
        </w:rPr>
        <w:t>____________________</w:t>
      </w:r>
      <w:r>
        <w:rPr>
          <w:sz w:val="24"/>
        </w:rPr>
        <w:tab/>
      </w:r>
      <w:r>
        <w:rPr>
          <w:sz w:val="24"/>
        </w:rPr>
        <w:tab/>
      </w:r>
      <w:r>
        <w:rPr>
          <w:sz w:val="24"/>
        </w:rPr>
        <w:tab/>
        <w:t>Date:</w:t>
      </w:r>
      <w:r>
        <w:rPr>
          <w:sz w:val="24"/>
        </w:rPr>
        <w:tab/>
        <w:t>_________</w:t>
      </w:r>
    </w:p>
    <w:p w:rsidR="00EF7343" w:rsidRPr="009810E2" w:rsidRDefault="00EF7343" w:rsidP="00EF7343">
      <w:pPr>
        <w:rPr>
          <w:sz w:val="24"/>
        </w:rPr>
      </w:pPr>
      <w:r w:rsidRPr="009810E2">
        <w:rPr>
          <w:sz w:val="24"/>
        </w:rPr>
        <w:tab/>
      </w:r>
      <w:r w:rsidRPr="009810E2">
        <w:rPr>
          <w:sz w:val="24"/>
        </w:rPr>
        <w:tab/>
      </w:r>
      <w:r>
        <w:rPr>
          <w:sz w:val="24"/>
        </w:rPr>
        <w:t>(</w:t>
      </w:r>
      <w:r w:rsidRPr="00E55BAB">
        <w:rPr>
          <w:sz w:val="20"/>
        </w:rPr>
        <w:t>Principal</w:t>
      </w:r>
      <w:r>
        <w:rPr>
          <w:sz w:val="20"/>
        </w:rPr>
        <w:t>)</w:t>
      </w:r>
    </w:p>
    <w:p w:rsidR="004B75A1" w:rsidRDefault="00EF7343"/>
    <w:sectPr w:rsidR="004B75A1" w:rsidSect="00803E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18AD"/>
    <w:rsid w:val="00080DD6"/>
    <w:rsid w:val="000D7486"/>
    <w:rsid w:val="0018778D"/>
    <w:rsid w:val="001B44C7"/>
    <w:rsid w:val="001E18AD"/>
    <w:rsid w:val="003A4713"/>
    <w:rsid w:val="007056DD"/>
    <w:rsid w:val="00803E26"/>
    <w:rsid w:val="00832A17"/>
    <w:rsid w:val="00873653"/>
    <w:rsid w:val="008F672A"/>
    <w:rsid w:val="00BC3468"/>
    <w:rsid w:val="00EE0C4B"/>
    <w:rsid w:val="00E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paragraph" w:styleId="Heading1">
    <w:name w:val="heading 1"/>
    <w:basedOn w:val="Normal"/>
    <w:next w:val="Normal"/>
    <w:link w:val="Heading1Char"/>
    <w:qFormat/>
    <w:rsid w:val="00EF7343"/>
    <w:pPr>
      <w:keepNext/>
      <w:suppressAutoHyphens w:val="0"/>
      <w:autoSpaceDN/>
      <w:spacing w:before="240" w:after="60"/>
      <w:textAlignment w:val="auto"/>
      <w:outlineLvl w:val="0"/>
    </w:pPr>
    <w:rPr>
      <w:rFonts w:asciiTheme="majorHAnsi" w:eastAsiaTheme="majorEastAsia" w:hAnsiTheme="majorHAnsi" w:cstheme="majorBidi"/>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 w:type="character" w:customStyle="1" w:styleId="Heading1Char">
    <w:name w:val="Heading 1 Char"/>
    <w:basedOn w:val="DefaultParagraphFont"/>
    <w:link w:val="Heading1"/>
    <w:rsid w:val="00EF7343"/>
    <w:rPr>
      <w:rFonts w:asciiTheme="majorHAnsi" w:eastAsiaTheme="majorEastAsia" w:hAnsiTheme="majorHAnsi" w:cstheme="majorBidi"/>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Brattman</dc:creator>
  <cp:lastModifiedBy>admin</cp:lastModifiedBy>
  <cp:revision>2</cp:revision>
  <cp:lastPrinted>2017-10-11T13:06:00Z</cp:lastPrinted>
  <dcterms:created xsi:type="dcterms:W3CDTF">2020-08-06T09:48:00Z</dcterms:created>
  <dcterms:modified xsi:type="dcterms:W3CDTF">2020-08-06T09:48:00Z</dcterms:modified>
</cp:coreProperties>
</file>